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1172E" w14:textId="77777777" w:rsidR="00A62879" w:rsidRDefault="00CF094F">
      <w:pPr>
        <w:ind w:firstLine="709"/>
        <w:rPr>
          <w:highlight w:val="white"/>
        </w:rPr>
      </w:pPr>
      <w:r>
        <w:rPr>
          <w:highlight w:val="white"/>
        </w:rPr>
        <w:t>Com o serviço de Gestão de Energia busca-se conhecer o consumo energético das Unidades Consumidoras (</w:t>
      </w:r>
      <w:proofErr w:type="spellStart"/>
      <w:r>
        <w:rPr>
          <w:highlight w:val="white"/>
        </w:rPr>
        <w:t>UC´s</w:t>
      </w:r>
      <w:proofErr w:type="spellEnd"/>
      <w:r>
        <w:rPr>
          <w:highlight w:val="white"/>
        </w:rPr>
        <w:t>), de modo que, a partir da coleta de informações pertinentes relacionadas ao uso de energia, seja assegurado o alcance de metas em uma constante melho</w:t>
      </w:r>
      <w:r>
        <w:rPr>
          <w:highlight w:val="white"/>
        </w:rPr>
        <w:t xml:space="preserve">ria do desempenho energético das </w:t>
      </w:r>
      <w:proofErr w:type="spellStart"/>
      <w:r>
        <w:rPr>
          <w:highlight w:val="white"/>
        </w:rPr>
        <w:t>UC’s</w:t>
      </w:r>
      <w:proofErr w:type="spellEnd"/>
      <w:r>
        <w:rPr>
          <w:highlight w:val="white"/>
        </w:rPr>
        <w:t xml:space="preserve">.  </w:t>
      </w:r>
    </w:p>
    <w:p w14:paraId="0F631F3F" w14:textId="77777777" w:rsidR="00A62879" w:rsidRDefault="00CF094F">
      <w:pPr>
        <w:ind w:firstLine="709"/>
        <w:rPr>
          <w:highlight w:val="white"/>
        </w:rPr>
      </w:pPr>
      <w:r>
        <w:rPr>
          <w:highlight w:val="white"/>
        </w:rPr>
        <w:t xml:space="preserve">As tabelas 1, 2 e 3 esquematizam o escopo deste serviço, dividindo-o em: </w:t>
      </w:r>
    </w:p>
    <w:p w14:paraId="68B27E10" w14:textId="77777777" w:rsidR="00A62879" w:rsidRDefault="00CF09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Acompanhamento do perfil de consumo; </w:t>
      </w:r>
    </w:p>
    <w:p w14:paraId="229B2546" w14:textId="77777777" w:rsidR="00A62879" w:rsidRDefault="00CF09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Acompanhamento de contratos e balanços energéticos; </w:t>
      </w:r>
    </w:p>
    <w:p w14:paraId="34F1B2C4" w14:textId="77777777" w:rsidR="00A62879" w:rsidRDefault="00CF09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59" w:lineRule="auto"/>
        <w:rPr>
          <w:color w:val="000000"/>
          <w:highlight w:val="white"/>
        </w:rPr>
      </w:pPr>
      <w:r>
        <w:rPr>
          <w:color w:val="000000"/>
          <w:highlight w:val="white"/>
        </w:rPr>
        <w:t>Representação do ativo diante de órgãos reguladore</w:t>
      </w:r>
      <w:r>
        <w:rPr>
          <w:color w:val="000000"/>
          <w:highlight w:val="white"/>
        </w:rPr>
        <w:t xml:space="preserve">s. </w:t>
      </w:r>
    </w:p>
    <w:p w14:paraId="3763D5DB" w14:textId="77777777" w:rsidR="00A62879" w:rsidRDefault="00A62879">
      <w:pPr>
        <w:pBdr>
          <w:top w:val="nil"/>
          <w:left w:val="nil"/>
          <w:bottom w:val="nil"/>
          <w:right w:val="nil"/>
          <w:between w:val="nil"/>
        </w:pBdr>
        <w:spacing w:before="0" w:line="259" w:lineRule="auto"/>
        <w:ind w:left="1484" w:firstLine="0"/>
        <w:rPr>
          <w:color w:val="000000"/>
          <w:highlight w:val="white"/>
        </w:rPr>
      </w:pPr>
    </w:p>
    <w:p w14:paraId="0C10056F" w14:textId="77777777" w:rsidR="00A62879" w:rsidRDefault="00CF094F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jc w:val="center"/>
        <w:rPr>
          <w:color w:val="44546A"/>
          <w:sz w:val="18"/>
          <w:szCs w:val="18"/>
        </w:rPr>
      </w:pPr>
      <w:r>
        <w:rPr>
          <w:color w:val="000000"/>
          <w:sz w:val="18"/>
          <w:szCs w:val="18"/>
        </w:rPr>
        <w:t>Tabela 1 - Acompanhamento do perfil de consumo</w:t>
      </w:r>
    </w:p>
    <w:tbl>
      <w:tblPr>
        <w:tblStyle w:val="a"/>
        <w:tblW w:w="973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113"/>
        <w:gridCol w:w="2623"/>
      </w:tblGrid>
      <w:tr w:rsidR="00A62879" w14:paraId="561B1F21" w14:textId="77777777">
        <w:trPr>
          <w:trHeight w:val="300"/>
        </w:trPr>
        <w:tc>
          <w:tcPr>
            <w:tcW w:w="9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D22C1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Acompanhamento do perfil de consumo </w:t>
            </w:r>
          </w:p>
        </w:tc>
      </w:tr>
      <w:tr w:rsidR="00A62879" w14:paraId="57800922" w14:textId="77777777">
        <w:trPr>
          <w:trHeight w:val="300"/>
        </w:trPr>
        <w:tc>
          <w:tcPr>
            <w:tcW w:w="7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606BC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Descrição da atividade 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D3AA7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Periodicidade </w:t>
            </w:r>
          </w:p>
        </w:tc>
      </w:tr>
      <w:tr w:rsidR="00A62879" w14:paraId="5E4F2560" w14:textId="77777777">
        <w:trPr>
          <w:trHeight w:val="600"/>
        </w:trPr>
        <w:tc>
          <w:tcPr>
            <w:tcW w:w="7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B4FD7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Acompanhamento do consumo ativo 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2D9ED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Diário </w:t>
            </w:r>
          </w:p>
        </w:tc>
      </w:tr>
      <w:tr w:rsidR="00A62879" w14:paraId="74600596" w14:textId="77777777">
        <w:trPr>
          <w:trHeight w:val="600"/>
        </w:trPr>
        <w:tc>
          <w:tcPr>
            <w:tcW w:w="7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9AA45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Acompanhamento de demanda ativa 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5DD1B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Diário </w:t>
            </w:r>
          </w:p>
        </w:tc>
      </w:tr>
      <w:tr w:rsidR="00A62879" w14:paraId="6BFBE577" w14:textId="77777777">
        <w:trPr>
          <w:trHeight w:val="600"/>
        </w:trPr>
        <w:tc>
          <w:tcPr>
            <w:tcW w:w="7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32ED9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Acompanhamento de consumo reativo excedente 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90F47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Diário </w:t>
            </w:r>
          </w:p>
        </w:tc>
      </w:tr>
      <w:tr w:rsidR="00A62879" w14:paraId="4835B06C" w14:textId="77777777">
        <w:trPr>
          <w:trHeight w:val="600"/>
        </w:trPr>
        <w:tc>
          <w:tcPr>
            <w:tcW w:w="7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EFBCB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Acompanhamento de demanda reativa excedente 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E7470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Diário </w:t>
            </w:r>
          </w:p>
        </w:tc>
      </w:tr>
      <w:tr w:rsidR="00A62879" w14:paraId="6AA8286B" w14:textId="77777777">
        <w:trPr>
          <w:trHeight w:val="600"/>
        </w:trPr>
        <w:tc>
          <w:tcPr>
            <w:tcW w:w="7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E00DE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Acompanhamento das faturas energéticas 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121F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Mensal</w:t>
            </w:r>
          </w:p>
        </w:tc>
      </w:tr>
      <w:tr w:rsidR="00A62879" w14:paraId="4D9AADDD" w14:textId="77777777">
        <w:trPr>
          <w:trHeight w:val="300"/>
        </w:trPr>
        <w:tc>
          <w:tcPr>
            <w:tcW w:w="7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3860F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Elaboração de relatórios gerenciais sobre o uso de energia das </w:t>
            </w:r>
            <w:proofErr w:type="spellStart"/>
            <w:r>
              <w:rPr>
                <w:color w:val="000000"/>
              </w:rPr>
              <w:t>UC’s</w:t>
            </w:r>
            <w:proofErr w:type="spellEnd"/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ACA95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Mensal</w:t>
            </w:r>
          </w:p>
        </w:tc>
      </w:tr>
    </w:tbl>
    <w:p w14:paraId="420CDB51" w14:textId="77777777" w:rsidR="00A62879" w:rsidRDefault="00A62879">
      <w:pPr>
        <w:rPr>
          <w:highlight w:val="white"/>
        </w:rPr>
      </w:pPr>
    </w:p>
    <w:p w14:paraId="024678B6" w14:textId="77777777" w:rsidR="00A62879" w:rsidRDefault="00CF094F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jc w:val="center"/>
        <w:rPr>
          <w:color w:val="44546A"/>
          <w:sz w:val="18"/>
          <w:szCs w:val="18"/>
        </w:rPr>
      </w:pPr>
      <w:r>
        <w:rPr>
          <w:color w:val="000000"/>
          <w:sz w:val="18"/>
          <w:szCs w:val="18"/>
        </w:rPr>
        <w:t>Tabela 2 - Acompanhamento de contratos e balanços energéticos</w:t>
      </w:r>
    </w:p>
    <w:tbl>
      <w:tblPr>
        <w:tblStyle w:val="a0"/>
        <w:tblW w:w="973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639"/>
        <w:gridCol w:w="2097"/>
      </w:tblGrid>
      <w:tr w:rsidR="00A62879" w14:paraId="41B8ECCE" w14:textId="77777777">
        <w:trPr>
          <w:trHeight w:val="300"/>
        </w:trPr>
        <w:tc>
          <w:tcPr>
            <w:tcW w:w="9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1A021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Acompanhamento de contratos e balanços energéticos</w:t>
            </w:r>
          </w:p>
        </w:tc>
      </w:tr>
      <w:tr w:rsidR="00A62879" w14:paraId="501485E2" w14:textId="77777777">
        <w:trPr>
          <w:trHeight w:val="300"/>
        </w:trPr>
        <w:tc>
          <w:tcPr>
            <w:tcW w:w="7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16B02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Descrição das atividades 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31334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Periodicidade </w:t>
            </w:r>
          </w:p>
        </w:tc>
      </w:tr>
      <w:tr w:rsidR="00A62879" w14:paraId="619E9E6F" w14:textId="77777777">
        <w:trPr>
          <w:trHeight w:val="600"/>
        </w:trPr>
        <w:tc>
          <w:tcPr>
            <w:tcW w:w="7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20B1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Gestão do ciclo contratual (Estratégia de contratação, Negociação, Execução) 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00E3A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Mensal </w:t>
            </w:r>
          </w:p>
        </w:tc>
      </w:tr>
      <w:tr w:rsidR="00A62879" w14:paraId="4B311176" w14:textId="77777777">
        <w:trPr>
          <w:trHeight w:val="600"/>
        </w:trPr>
        <w:tc>
          <w:tcPr>
            <w:tcW w:w="7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10096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Sazonalização</w:t>
            </w:r>
            <w:proofErr w:type="spellEnd"/>
            <w:r>
              <w:rPr>
                <w:color w:val="000000"/>
              </w:rPr>
              <w:t xml:space="preserve"> e modulação nos prazos previstos na legislação em vigor 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0426C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Anual </w:t>
            </w:r>
          </w:p>
        </w:tc>
      </w:tr>
      <w:tr w:rsidR="00A62879" w14:paraId="6CB4B3CA" w14:textId="77777777">
        <w:trPr>
          <w:trHeight w:val="600"/>
        </w:trPr>
        <w:tc>
          <w:tcPr>
            <w:tcW w:w="7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7A8D2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Monitoramento dos contratos para evitar penalidades por insuficiência de lastro 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448AB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Diário </w:t>
            </w:r>
          </w:p>
        </w:tc>
      </w:tr>
      <w:tr w:rsidR="00A62879" w14:paraId="193A6F81" w14:textId="77777777">
        <w:trPr>
          <w:trHeight w:val="600"/>
        </w:trPr>
        <w:tc>
          <w:tcPr>
            <w:tcW w:w="7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24D55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Balanço energético e assessoria técnico-comercial para comercialização de sobras e déficits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DA6F2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Diário </w:t>
            </w:r>
          </w:p>
        </w:tc>
      </w:tr>
      <w:tr w:rsidR="00A62879" w14:paraId="797AC894" w14:textId="77777777">
        <w:trPr>
          <w:trHeight w:val="600"/>
        </w:trPr>
        <w:tc>
          <w:tcPr>
            <w:tcW w:w="7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45651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Acompanhamento da contabilização e liquidação financeira 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052F0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Diário </w:t>
            </w:r>
          </w:p>
        </w:tc>
      </w:tr>
      <w:tr w:rsidR="00A62879" w14:paraId="5CFC7FDB" w14:textId="77777777">
        <w:trPr>
          <w:trHeight w:val="600"/>
        </w:trPr>
        <w:tc>
          <w:tcPr>
            <w:tcW w:w="7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DDEA8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Verificação da necessidade de aporte de garantias financeiras 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3CDD6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Mensal </w:t>
            </w:r>
          </w:p>
        </w:tc>
      </w:tr>
      <w:tr w:rsidR="00A62879" w14:paraId="57470E35" w14:textId="77777777">
        <w:trPr>
          <w:trHeight w:val="600"/>
        </w:trPr>
        <w:tc>
          <w:tcPr>
            <w:tcW w:w="76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1CACD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Verificação de encargos setoriais e contribuição associativa à CCEE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DF6EF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Mensal </w:t>
            </w:r>
          </w:p>
        </w:tc>
      </w:tr>
    </w:tbl>
    <w:p w14:paraId="5BF8E9EF" w14:textId="77777777" w:rsidR="00A62879" w:rsidRDefault="00A62879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jc w:val="center"/>
        <w:rPr>
          <w:color w:val="000000"/>
          <w:sz w:val="18"/>
          <w:szCs w:val="18"/>
        </w:rPr>
      </w:pPr>
    </w:p>
    <w:p w14:paraId="77335821" w14:textId="77777777" w:rsidR="00A62879" w:rsidRDefault="00CF094F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jc w:val="center"/>
        <w:rPr>
          <w:color w:val="44546A"/>
          <w:sz w:val="18"/>
          <w:szCs w:val="18"/>
        </w:rPr>
      </w:pPr>
      <w:r>
        <w:rPr>
          <w:color w:val="000000"/>
          <w:sz w:val="18"/>
          <w:szCs w:val="18"/>
        </w:rPr>
        <w:t>Tabela 3 - Representação do ativo diante de órgãos reguladores</w:t>
      </w:r>
    </w:p>
    <w:tbl>
      <w:tblPr>
        <w:tblStyle w:val="a1"/>
        <w:tblW w:w="973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043"/>
        <w:gridCol w:w="2693"/>
      </w:tblGrid>
      <w:tr w:rsidR="00A62879" w14:paraId="3DD95912" w14:textId="77777777">
        <w:trPr>
          <w:trHeight w:val="300"/>
        </w:trPr>
        <w:tc>
          <w:tcPr>
            <w:tcW w:w="9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8CFD2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Representação do ativo diante de órgãos reguladores  </w:t>
            </w:r>
          </w:p>
        </w:tc>
      </w:tr>
      <w:tr w:rsidR="00A62879" w14:paraId="2E596605" w14:textId="77777777">
        <w:trPr>
          <w:trHeight w:val="300"/>
        </w:trPr>
        <w:tc>
          <w:tcPr>
            <w:tcW w:w="7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AE0B4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Descrição da atividade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3913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Periodicidade </w:t>
            </w:r>
          </w:p>
        </w:tc>
      </w:tr>
      <w:tr w:rsidR="00A62879" w14:paraId="34B77DA6" w14:textId="77777777">
        <w:trPr>
          <w:trHeight w:val="600"/>
        </w:trPr>
        <w:tc>
          <w:tcPr>
            <w:tcW w:w="7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B98AC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Representação nas assembleias e reuniões da CCEE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CC391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Sob demanda </w:t>
            </w:r>
          </w:p>
        </w:tc>
      </w:tr>
      <w:tr w:rsidR="00A62879" w14:paraId="03F7B024" w14:textId="77777777">
        <w:trPr>
          <w:trHeight w:val="600"/>
        </w:trPr>
        <w:tc>
          <w:tcPr>
            <w:tcW w:w="7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C1966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Apoio junto à concessionária e órgãos reguladores (ONS, ANEEL)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764ED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Sob demanda </w:t>
            </w:r>
          </w:p>
        </w:tc>
      </w:tr>
      <w:tr w:rsidR="00A62879" w14:paraId="06AFB06D" w14:textId="77777777">
        <w:trPr>
          <w:trHeight w:val="300"/>
        </w:trPr>
        <w:tc>
          <w:tcPr>
            <w:tcW w:w="7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D18F6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Assessoria e atualização regulatória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384EF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Sob demanda </w:t>
            </w:r>
          </w:p>
        </w:tc>
      </w:tr>
      <w:tr w:rsidR="00A62879" w14:paraId="775464F9" w14:textId="77777777">
        <w:trPr>
          <w:trHeight w:val="300"/>
        </w:trPr>
        <w:tc>
          <w:tcPr>
            <w:tcW w:w="7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FF2C8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Clipping</w:t>
            </w:r>
            <w:r>
              <w:rPr>
                <w:color w:val="000000"/>
              </w:rPr>
              <w:t xml:space="preserve"> de notícias do setor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1AA71" w14:textId="77777777" w:rsidR="00A62879" w:rsidRDefault="00CF094F">
            <w:pPr>
              <w:spacing w:after="0"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Semanal </w:t>
            </w:r>
          </w:p>
        </w:tc>
      </w:tr>
    </w:tbl>
    <w:p w14:paraId="7BB29FEF" w14:textId="77777777" w:rsidR="00A62879" w:rsidRDefault="00A62879">
      <w:pPr>
        <w:rPr>
          <w:highlight w:val="white"/>
        </w:rPr>
      </w:pPr>
    </w:p>
    <w:p w14:paraId="0EAEA138" w14:textId="77777777" w:rsidR="00A62879" w:rsidRDefault="00A62879">
      <w:pPr>
        <w:widowControl w:val="0"/>
        <w:spacing w:before="240" w:after="60" w:line="360" w:lineRule="auto"/>
        <w:ind w:firstLine="0"/>
      </w:pPr>
    </w:p>
    <w:sectPr w:rsidR="00A6287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080" w:bottom="1985" w:left="1080" w:header="708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A26E6" w14:textId="77777777" w:rsidR="00CF094F" w:rsidRDefault="00CF094F">
      <w:pPr>
        <w:spacing w:before="0" w:after="0" w:line="240" w:lineRule="auto"/>
      </w:pPr>
      <w:r>
        <w:separator/>
      </w:r>
    </w:p>
  </w:endnote>
  <w:endnote w:type="continuationSeparator" w:id="0">
    <w:p w14:paraId="532F5BC3" w14:textId="77777777" w:rsidR="00CF094F" w:rsidRDefault="00CF094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7685C" w14:textId="608E3C6E" w:rsidR="00A62879" w:rsidRDefault="00AA41B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9639" w:right="-460"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156C73BD" wp14:editId="401F5859">
          <wp:simplePos x="0" y="0"/>
          <wp:positionH relativeFrom="margin">
            <wp:align>right</wp:align>
          </wp:positionH>
          <wp:positionV relativeFrom="paragraph">
            <wp:posOffset>-879475</wp:posOffset>
          </wp:positionV>
          <wp:extent cx="1028700" cy="1466850"/>
          <wp:effectExtent l="9525" t="0" r="9525" b="9525"/>
          <wp:wrapNone/>
          <wp:docPr id="6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F094F">
      <w:rPr>
        <w:b/>
        <w:color w:val="000000"/>
        <w:sz w:val="22"/>
        <w:szCs w:val="22"/>
      </w:rPr>
      <w:fldChar w:fldCharType="begin"/>
    </w:r>
    <w:r w:rsidR="00CF094F"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 w:rsidR="00CF094F">
      <w:rPr>
        <w:b/>
        <w:color w:val="000000"/>
        <w:sz w:val="22"/>
        <w:szCs w:val="22"/>
      </w:rPr>
      <w:fldChar w:fldCharType="end"/>
    </w:r>
  </w:p>
  <w:p w14:paraId="27EB7AD9" w14:textId="0D8D1FDC" w:rsidR="00A62879" w:rsidRDefault="00AA41B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4AA5E73D" wp14:editId="5BD448C5">
          <wp:simplePos x="0" y="0"/>
          <wp:positionH relativeFrom="page">
            <wp:align>left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CF094F">
      <w:rPr>
        <w:b/>
        <w:color w:val="000000"/>
        <w:sz w:val="22"/>
        <w:szCs w:val="22"/>
      </w:rPr>
      <w:t xml:space="preserve">Energia Compesa - </w:t>
    </w:r>
    <w:r w:rsidR="00CF094F">
      <w:rPr>
        <w:color w:val="000000"/>
        <w:sz w:val="22"/>
        <w:szCs w:val="22"/>
      </w:rPr>
      <w:t xml:space="preserve">Modelagem Jurídica / ANEXO VI do Contrato </w:t>
    </w:r>
    <w:r w:rsidR="00CF094F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28DB9C08" wp14:editId="0BFDB35B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ector: Angulad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0FD4A01D" w14:textId="29AEC641" w:rsidR="00A62879" w:rsidRDefault="00A6287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6B0F44BC" w14:textId="35B9A647" w:rsidR="00A62879" w:rsidRDefault="00A6287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211EA" w14:textId="44947F09" w:rsidR="00A62879" w:rsidRDefault="00AA41B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8222"/>
      </w:tabs>
      <w:spacing w:before="0" w:after="0" w:line="240" w:lineRule="auto"/>
      <w:ind w:left="9639"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4E0363BE" wp14:editId="0748E30D">
          <wp:simplePos x="0" y="0"/>
          <wp:positionH relativeFrom="margin">
            <wp:align>right</wp:align>
          </wp:positionH>
          <wp:positionV relativeFrom="paragraph">
            <wp:posOffset>-898525</wp:posOffset>
          </wp:positionV>
          <wp:extent cx="1028700" cy="1466850"/>
          <wp:effectExtent l="9525" t="0" r="9525" b="9525"/>
          <wp:wrapNone/>
          <wp:docPr id="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F094F">
      <w:rPr>
        <w:b/>
        <w:color w:val="000000"/>
        <w:sz w:val="22"/>
        <w:szCs w:val="22"/>
      </w:rPr>
      <w:fldChar w:fldCharType="begin"/>
    </w:r>
    <w:r w:rsidR="00CF094F"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 w:rsidR="00CF094F">
      <w:rPr>
        <w:b/>
        <w:color w:val="000000"/>
        <w:sz w:val="22"/>
        <w:szCs w:val="22"/>
      </w:rPr>
      <w:fldChar w:fldCharType="end"/>
    </w:r>
  </w:p>
  <w:p w14:paraId="1F9626FC" w14:textId="123B1B07" w:rsidR="00A62879" w:rsidRDefault="00AA41B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1ED6525F" wp14:editId="372BFACA">
          <wp:simplePos x="0" y="0"/>
          <wp:positionH relativeFrom="page">
            <wp:align>right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CF094F">
      <w:rPr>
        <w:b/>
        <w:color w:val="000000"/>
        <w:sz w:val="22"/>
        <w:szCs w:val="22"/>
      </w:rPr>
      <w:t xml:space="preserve">Energia Compesa - </w:t>
    </w:r>
    <w:r w:rsidR="00CF094F">
      <w:rPr>
        <w:color w:val="000000"/>
        <w:sz w:val="22"/>
        <w:szCs w:val="22"/>
      </w:rPr>
      <w:t xml:space="preserve">Modelagem Jurídica / ANEXO VI do Contrato </w:t>
    </w:r>
    <w:r w:rsidR="00CF094F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166D80BC" wp14:editId="01F06911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1" name="Conector: Angul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E625774" w14:textId="4D7DA487" w:rsidR="00A62879" w:rsidRDefault="00A6287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7DC1E909" w14:textId="1D619B6E" w:rsidR="00A62879" w:rsidRDefault="00A6287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099A88" w14:textId="77777777" w:rsidR="00CF094F" w:rsidRDefault="00CF094F">
      <w:pPr>
        <w:spacing w:before="0" w:after="0" w:line="240" w:lineRule="auto"/>
      </w:pPr>
      <w:r>
        <w:separator/>
      </w:r>
    </w:p>
  </w:footnote>
  <w:footnote w:type="continuationSeparator" w:id="0">
    <w:p w14:paraId="17DE3C44" w14:textId="77777777" w:rsidR="00CF094F" w:rsidRDefault="00CF094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73D91" w14:textId="77777777" w:rsidR="00A62879" w:rsidRPr="00AA41B7" w:rsidRDefault="00CF094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AA41B7">
      <w:rPr>
        <w:rFonts w:ascii="Calibri Light" w:hAnsi="Calibri Light" w:cs="Calibri Light"/>
        <w:b/>
        <w:color w:val="000000"/>
        <w:sz w:val="28"/>
        <w:szCs w:val="28"/>
      </w:rPr>
      <w:t>ANEXO VI – SERVIÇOS VINCULADOS A GESTÃO DE ENERGIA</w:t>
    </w:r>
  </w:p>
  <w:p w14:paraId="1511A444" w14:textId="77777777" w:rsidR="00A62879" w:rsidRDefault="00A6287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DD226" w14:textId="77777777" w:rsidR="00A62879" w:rsidRPr="00AA41B7" w:rsidRDefault="00CF094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AA41B7">
      <w:rPr>
        <w:rFonts w:ascii="Calibri Light" w:hAnsi="Calibri Light" w:cs="Calibri Light"/>
        <w:b/>
        <w:color w:val="000000"/>
        <w:sz w:val="28"/>
        <w:szCs w:val="28"/>
      </w:rPr>
      <w:t>ANEXO VI – SERVIÇOS VINCULADOS A GESTÃO DE ENERGIA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002949"/>
    <w:multiLevelType w:val="multilevel"/>
    <w:tmpl w:val="31D6408E"/>
    <w:lvl w:ilvl="0">
      <w:start w:val="1"/>
      <w:numFmt w:val="lowerLetter"/>
      <w:lvlText w:val="%1)"/>
      <w:lvlJc w:val="left"/>
      <w:pPr>
        <w:ind w:left="1484" w:hanging="360"/>
      </w:pPr>
    </w:lvl>
    <w:lvl w:ilvl="1">
      <w:start w:val="1"/>
      <w:numFmt w:val="lowerLetter"/>
      <w:lvlText w:val="%2."/>
      <w:lvlJc w:val="left"/>
      <w:pPr>
        <w:ind w:left="2204" w:hanging="360"/>
      </w:pPr>
    </w:lvl>
    <w:lvl w:ilvl="2">
      <w:start w:val="1"/>
      <w:numFmt w:val="lowerRoman"/>
      <w:lvlText w:val="%3."/>
      <w:lvlJc w:val="right"/>
      <w:pPr>
        <w:ind w:left="2924" w:hanging="180"/>
      </w:pPr>
    </w:lvl>
    <w:lvl w:ilvl="3">
      <w:start w:val="1"/>
      <w:numFmt w:val="decimal"/>
      <w:lvlText w:val="%4."/>
      <w:lvlJc w:val="left"/>
      <w:pPr>
        <w:ind w:left="3644" w:hanging="360"/>
      </w:pPr>
    </w:lvl>
    <w:lvl w:ilvl="4">
      <w:start w:val="1"/>
      <w:numFmt w:val="lowerLetter"/>
      <w:lvlText w:val="%5."/>
      <w:lvlJc w:val="left"/>
      <w:pPr>
        <w:ind w:left="4364" w:hanging="360"/>
      </w:pPr>
    </w:lvl>
    <w:lvl w:ilvl="5">
      <w:start w:val="1"/>
      <w:numFmt w:val="lowerRoman"/>
      <w:lvlText w:val="%6."/>
      <w:lvlJc w:val="right"/>
      <w:pPr>
        <w:ind w:left="5084" w:hanging="180"/>
      </w:pPr>
    </w:lvl>
    <w:lvl w:ilvl="6">
      <w:start w:val="1"/>
      <w:numFmt w:val="decimal"/>
      <w:lvlText w:val="%7."/>
      <w:lvlJc w:val="left"/>
      <w:pPr>
        <w:ind w:left="5804" w:hanging="360"/>
      </w:pPr>
    </w:lvl>
    <w:lvl w:ilvl="7">
      <w:start w:val="1"/>
      <w:numFmt w:val="lowerLetter"/>
      <w:lvlText w:val="%8."/>
      <w:lvlJc w:val="left"/>
      <w:pPr>
        <w:ind w:left="6524" w:hanging="360"/>
      </w:pPr>
    </w:lvl>
    <w:lvl w:ilvl="8">
      <w:start w:val="1"/>
      <w:numFmt w:val="lowerRoman"/>
      <w:lvlText w:val="%9."/>
      <w:lvlJc w:val="right"/>
      <w:pPr>
        <w:ind w:left="72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879"/>
    <w:rsid w:val="00A62879"/>
    <w:rsid w:val="00AA41B7"/>
    <w:rsid w:val="00C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A37C8"/>
  <w15:docId w15:val="{D72E5369-36AD-47B0-8103-562E53BB7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A41B7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A41B7"/>
  </w:style>
  <w:style w:type="paragraph" w:styleId="Rodap">
    <w:name w:val="footer"/>
    <w:basedOn w:val="Normal"/>
    <w:link w:val="RodapChar"/>
    <w:uiPriority w:val="99"/>
    <w:unhideWhenUsed/>
    <w:rsid w:val="00AA41B7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A4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60BF48-5D61-43FE-8706-26E34A81B935}"/>
</file>

<file path=customXml/itemProps2.xml><?xml version="1.0" encoding="utf-8"?>
<ds:datastoreItem xmlns:ds="http://schemas.openxmlformats.org/officeDocument/2006/customXml" ds:itemID="{E28B6BF9-2351-463F-AB29-B3F6FBE701C6}"/>
</file>

<file path=customXml/itemProps3.xml><?xml version="1.0" encoding="utf-8"?>
<ds:datastoreItem xmlns:ds="http://schemas.openxmlformats.org/officeDocument/2006/customXml" ds:itemID="{38F836F9-0FE6-40A0-86F0-73797BEB5B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Leticia</cp:lastModifiedBy>
  <cp:revision>2</cp:revision>
  <dcterms:created xsi:type="dcterms:W3CDTF">2020-08-27T17:49:00Z</dcterms:created>
  <dcterms:modified xsi:type="dcterms:W3CDTF">2020-08-27T17:50:00Z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